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 w:rsidRPr="00783C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3C95">
              <w:rPr>
                <w:rFonts w:ascii="Times New Roman CYR" w:hAnsi="Times New Roman CYR" w:cs="Times New Roman CYR"/>
                <w:sz w:val="24"/>
                <w:szCs w:val="24"/>
              </w:rPr>
              <w:t>26.11.2021</w:t>
            </w:r>
          </w:p>
        </w:tc>
      </w:tr>
      <w:tr w:rsidR="00000000" w:rsidRPr="00783C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783C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3C95">
              <w:rPr>
                <w:rFonts w:ascii="Times New Roman CYR" w:hAnsi="Times New Roman CYR" w:cs="Times New Roman CYR"/>
                <w:sz w:val="24"/>
                <w:szCs w:val="24"/>
              </w:rPr>
              <w:t>№ 6</w:t>
            </w:r>
          </w:p>
        </w:tc>
      </w:tr>
      <w:tr w:rsidR="00000000" w:rsidRPr="00783C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 w:rsidRPr="00783C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3C95"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783C95"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 w:rsidRPr="00783C9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3C95"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3C95">
              <w:rPr>
                <w:rFonts w:ascii="Times New Roman CYR" w:hAnsi="Times New Roman CYR" w:cs="Times New Roman CYR"/>
                <w:sz w:val="24"/>
                <w:szCs w:val="24"/>
              </w:rPr>
              <w:t>Самойленко А.В.</w:t>
            </w:r>
          </w:p>
        </w:tc>
      </w:tr>
      <w:tr w:rsidR="00000000" w:rsidRPr="00783C9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"ЧЕРНІІГВСЬКИЙ ЦЕГЕЛЬНИЙ ЗАВОД №3"</w:t>
      </w: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</w:t>
      </w:r>
      <w:r>
        <w:rPr>
          <w:rFonts w:ascii="Times New Roman CYR" w:hAnsi="Times New Roman CYR" w:cs="Times New Roman CYR"/>
          <w:sz w:val="24"/>
          <w:szCs w:val="24"/>
        </w:rPr>
        <w:t xml:space="preserve"> форма:</w:t>
      </w: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Акціонерне товариство</w:t>
      </w: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14010, Чернігівська обл., м.Чернігів, вул.Попова, 6</w:t>
      </w: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01296639</w:t>
      </w: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(0462) 667-332 , (0462) 664763</w:t>
      </w: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emitent@open.net.ua</w:t>
      </w: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</w:t>
      </w:r>
      <w:r>
        <w:rPr>
          <w:rFonts w:ascii="Times New Roman CYR" w:hAnsi="Times New Roman CYR" w:cs="Times New Roman CYR"/>
          <w:sz w:val="24"/>
          <w:szCs w:val="24"/>
        </w:rPr>
        <w:t xml:space="preserve"> оприлюднення регульованої інформації від імені учасника фондового ринку (у разі здійснення оприлюднення):</w:t>
      </w: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</w:t>
      </w:r>
      <w:r>
        <w:rPr>
          <w:rFonts w:ascii="Times New Roman CYR" w:hAnsi="Times New Roman CYR" w:cs="Times New Roman CYR"/>
          <w:sz w:val="24"/>
          <w:szCs w:val="24"/>
        </w:rPr>
        <w:t>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</w:t>
      </w:r>
      <w:r>
        <w:rPr>
          <w:rFonts w:ascii="Times New Roman CYR" w:hAnsi="Times New Roman CYR" w:cs="Times New Roman CYR"/>
          <w:sz w:val="24"/>
          <w:szCs w:val="24"/>
        </w:rPr>
        <w:t>их паперів та фондового ринку безпосередньо):</w:t>
      </w: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 w:rsidRPr="00783C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3C95">
              <w:rPr>
                <w:rFonts w:ascii="Times New Roman CYR" w:hAnsi="Times New Roman CYR" w:cs="Times New Roman CYR"/>
                <w:sz w:val="24"/>
                <w:szCs w:val="24"/>
              </w:rPr>
              <w:t>Повідомлен</w:t>
            </w:r>
            <w:r w:rsidRPr="00783C95">
              <w:rPr>
                <w:rFonts w:ascii="Times New Roman CYR" w:hAnsi="Times New Roman CYR" w:cs="Times New Roman CYR"/>
                <w:sz w:val="24"/>
                <w:szCs w:val="24"/>
              </w:rPr>
              <w:t>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3C95">
              <w:rPr>
                <w:rFonts w:ascii="Times New Roman CYR" w:hAnsi="Times New Roman CYR" w:cs="Times New Roman CYR"/>
                <w:sz w:val="24"/>
                <w:szCs w:val="24"/>
              </w:rPr>
              <w:t>http://chernigivtsegla.pat.ua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3C95">
              <w:rPr>
                <w:rFonts w:ascii="Times New Roman CYR" w:hAnsi="Times New Roman CYR" w:cs="Times New Roman CYR"/>
                <w:sz w:val="24"/>
                <w:szCs w:val="24"/>
              </w:rPr>
              <w:t>26.11.2021</w:t>
            </w:r>
          </w:p>
        </w:tc>
      </w:tr>
      <w:tr w:rsidR="00000000" w:rsidRPr="00783C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попереднє надання згоди на вчинення значних правочинів</w:t>
      </w:r>
    </w:p>
    <w:p w:rsidR="00000000" w:rsidRDefault="00783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300"/>
        <w:gridCol w:w="2500"/>
        <w:gridCol w:w="2500"/>
        <w:gridCol w:w="3400"/>
      </w:tblGrid>
      <w:tr w:rsidR="00000000" w:rsidRPr="00783C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Гранична сукупна вартість правочинів (тис.грн)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граничної сукупної вартості правочинів до вартості активів емітента за даними останньої</w:t>
            </w:r>
            <w:r w:rsidRPr="00783C9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річної фінансової звітності (у відсотках)</w:t>
            </w:r>
          </w:p>
        </w:tc>
      </w:tr>
      <w:tr w:rsidR="00000000" w:rsidRPr="00783C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000000" w:rsidRPr="00783C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26.11.2021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5 000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7 556,2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66,17</w:t>
            </w:r>
          </w:p>
        </w:tc>
      </w:tr>
      <w:tr w:rsidR="00000000" w:rsidRPr="00783C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783C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Загальними зборами акціонерів 26.11.2021 прийнято рішення: Затвердити рішення про попереднє надання згоди на вчинення значних правочинів, вартість яких складає більше 25% та більше 50%  вартості активів за даними останньої річної фінансової звітності, які </w:t>
            </w: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 xml:space="preserve">будуть укладені у ході поточної господарської діяльності Товариства протягом одного року з дати прийняття цього рішення до наступних загальних зборів сукупною вартістю 5 000 000 гривень, а саме </w:t>
            </w:r>
          </w:p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ab/>
              <w:t>укладання кредитних угод (кредитних договорів), укладених з</w:t>
            </w: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 xml:space="preserve"> банками та фінансовими установами;</w:t>
            </w:r>
          </w:p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ab/>
              <w:t>договорів комісії, доручення, фінансової допомоги, позики;</w:t>
            </w:r>
          </w:p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ab/>
              <w:t>надання Товариством порук, передачу в за</w:t>
            </w: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ставу та/або іпотеку власного майна для забезпечення кредитних та/або позикових операцій, та укладення відповідного договору іпотеки</w:t>
            </w:r>
          </w:p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ab/>
              <w:t xml:space="preserve">страхування майна Товариства </w:t>
            </w:r>
          </w:p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ab/>
              <w:t>відчуження рухомого та нерухомого майна (майнових прав) Товариства;</w:t>
            </w:r>
          </w:p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ab/>
              <w:t>купівля рухомого та</w:t>
            </w: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нерухомого майна (майнових прав) Товариства</w:t>
            </w:r>
          </w:p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ab/>
              <w:t>придбання природного газу для господарських потреб товариства</w:t>
            </w:r>
          </w:p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Надати Голові правління Товариства повноваження без отримання додаткового рішення Загальних зборів акціонерів та Наглядової ради - погоджувати умов</w:t>
            </w: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и попередньо схвалених Загальними зборами акціонерів значних правочинів з усіма можливими змінами та доповненнями, які будуть укладатись Товариством протягом року до наступних річних загальних зборів акціонерів 2022 року- погоджувати/визначати перелік майн</w:t>
            </w: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а (майнових прав) Товариства, яке підлягає відчуженню, передачі в заставу/іпотеку, придбанню, тощо; - надавати згоду (уповноважувати з правом передоручення) на укладання (підписання) Головою правління, посадовими особами органів управління Товариства попер</w:t>
            </w: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едньо схвалених в цьому пункті Порядку денного Загальними зборами значних правочинів з усіма змінами та доповненнями до них. Товариство усвідомлює, що вчинення значного правочину є чинним незалежно від збільшення у майбутньому ринкової вартості майна Товар</w:t>
            </w: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иства, збільшення/зменшення вартості активів Товариства за даними останньої річної фінансової звітності, а також можливих коливань курсу гривні до іноземних валют</w:t>
            </w:r>
          </w:p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 xml:space="preserve">Гранична сукупнiсть вартостi правочинiв 5 млн. грн., вартiсть активiв емiтента на 31.12.2020 </w:t>
            </w: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>- 7556,2 тис. грн., спiввiдношення граничної сукупностi вартостi правочинiв до вартостi активiв емiтента - 66,17 %. Загальна кiлькiсть голосуючих акцiй - 319200 шт., кiлькiсть голосуючих акцiй, що зареєстрованi для участi у загальних зборах - 268866 шт., к</w:t>
            </w:r>
            <w:r w:rsidRPr="00783C95">
              <w:rPr>
                <w:rFonts w:ascii="Times New Roman CYR" w:hAnsi="Times New Roman CYR" w:cs="Times New Roman CYR"/>
                <w:sz w:val="20"/>
                <w:szCs w:val="20"/>
              </w:rPr>
              <w:t xml:space="preserve">iлькiсть голосуючих акцiй, що проголосували "ЗА" прийняття рiшення - 268866 шт. (100% вiд кiлькостi голосуючих акцiй, що зареєстрованi для участi у загальних зборах, що складає 84,23% вiд загальної кiлькостi голосуючих акцiй ), "проти" - 0 акцiй (0%) </w:t>
            </w:r>
          </w:p>
          <w:p w:rsidR="00000000" w:rsidRPr="00783C95" w:rsidRDefault="0078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783C95" w:rsidRDefault="0078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783C95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73"/>
    <w:rsid w:val="00783C95"/>
    <w:rsid w:val="009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3501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2021-11-26T18:46:00Z</dcterms:created>
  <dcterms:modified xsi:type="dcterms:W3CDTF">2021-11-26T18:46:00Z</dcterms:modified>
</cp:coreProperties>
</file>